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31CEB" w14:textId="70CC5837" w:rsidR="00664737" w:rsidRPr="00664737" w:rsidRDefault="00664737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64737">
        <w:rPr>
          <w:rFonts w:ascii="Arial" w:hAnsi="Arial" w:cs="Arial"/>
          <w:b/>
          <w:bCs/>
          <w:sz w:val="22"/>
          <w:szCs w:val="22"/>
        </w:rPr>
        <w:t>LÁPIZ Editorial Guidelines</w:t>
      </w:r>
      <w:r w:rsidR="0055586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F0301B" w14:textId="77777777" w:rsidR="00664737" w:rsidRPr="00664737" w:rsidRDefault="00664737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B17D56" w14:textId="6A61180F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64737">
        <w:rPr>
          <w:rFonts w:ascii="Arial" w:hAnsi="Arial" w:cs="Arial"/>
          <w:b/>
          <w:bCs/>
          <w:sz w:val="22"/>
          <w:szCs w:val="22"/>
        </w:rPr>
        <w:t>Chicago Citation Style: Quick Guide</w:t>
      </w:r>
      <w:r w:rsidR="00555861" w:rsidRPr="0055586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1607FD3B" w14:textId="52308AC0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8A6EAA" w14:textId="2026C2EF" w:rsidR="008E5E3B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 xml:space="preserve">LÁPIZ </w:t>
      </w:r>
      <w:r w:rsidR="008E5E3B" w:rsidRPr="00664737">
        <w:rPr>
          <w:rFonts w:ascii="Arial" w:hAnsi="Arial" w:cs="Arial"/>
          <w:sz w:val="22"/>
          <w:szCs w:val="22"/>
        </w:rPr>
        <w:t>uses</w:t>
      </w:r>
      <w:r w:rsidRPr="00664737">
        <w:rPr>
          <w:rFonts w:ascii="Arial" w:hAnsi="Arial" w:cs="Arial"/>
          <w:sz w:val="22"/>
          <w:szCs w:val="22"/>
        </w:rPr>
        <w:t xml:space="preserve"> </w:t>
      </w:r>
      <w:r w:rsidR="008E5E3B" w:rsidRPr="00664737">
        <w:rPr>
          <w:rFonts w:ascii="Arial" w:hAnsi="Arial" w:cs="Arial"/>
          <w:sz w:val="22"/>
          <w:szCs w:val="22"/>
        </w:rPr>
        <w:t xml:space="preserve">a modified version of </w:t>
      </w:r>
      <w:r w:rsidR="00CD161E" w:rsidRPr="00664737">
        <w:rPr>
          <w:rFonts w:ascii="Arial" w:hAnsi="Arial" w:cs="Arial"/>
          <w:i/>
          <w:sz w:val="22"/>
          <w:szCs w:val="22"/>
        </w:rPr>
        <w:t>T</w:t>
      </w:r>
      <w:r w:rsidR="008E5E3B" w:rsidRPr="00664737">
        <w:rPr>
          <w:rFonts w:ascii="Arial" w:hAnsi="Arial" w:cs="Arial"/>
          <w:i/>
          <w:sz w:val="22"/>
          <w:szCs w:val="22"/>
        </w:rPr>
        <w:t>he Chicago Manual of Style</w:t>
      </w:r>
      <w:r w:rsidR="008E5E3B" w:rsidRPr="00664737">
        <w:rPr>
          <w:rFonts w:ascii="Arial" w:hAnsi="Arial" w:cs="Arial"/>
          <w:sz w:val="22"/>
          <w:szCs w:val="22"/>
        </w:rPr>
        <w:t xml:space="preserve"> N</w:t>
      </w:r>
      <w:r w:rsidRPr="00664737">
        <w:rPr>
          <w:rFonts w:ascii="Arial" w:hAnsi="Arial" w:cs="Arial"/>
          <w:sz w:val="22"/>
          <w:szCs w:val="22"/>
        </w:rPr>
        <w:t xml:space="preserve">otes and </w:t>
      </w:r>
      <w:r w:rsidR="008E5E3B" w:rsidRPr="00664737">
        <w:rPr>
          <w:rFonts w:ascii="Arial" w:hAnsi="Arial" w:cs="Arial"/>
          <w:sz w:val="22"/>
          <w:szCs w:val="22"/>
        </w:rPr>
        <w:t>B</w:t>
      </w:r>
      <w:r w:rsidRPr="00664737">
        <w:rPr>
          <w:rFonts w:ascii="Arial" w:hAnsi="Arial" w:cs="Arial"/>
          <w:sz w:val="22"/>
          <w:szCs w:val="22"/>
        </w:rPr>
        <w:t>ibliography</w:t>
      </w:r>
      <w:r w:rsidR="008E5E3B" w:rsidRPr="00664737">
        <w:rPr>
          <w:rFonts w:ascii="Arial" w:hAnsi="Arial" w:cs="Arial"/>
          <w:sz w:val="22"/>
          <w:szCs w:val="22"/>
        </w:rPr>
        <w:t xml:space="preserve"> system (not the Author-D</w:t>
      </w:r>
      <w:r w:rsidR="00664737">
        <w:rPr>
          <w:rFonts w:ascii="Arial" w:hAnsi="Arial" w:cs="Arial"/>
          <w:sz w:val="22"/>
          <w:szCs w:val="22"/>
        </w:rPr>
        <w:t>ate s</w:t>
      </w:r>
      <w:r w:rsidR="008E5E3B" w:rsidRPr="00664737">
        <w:rPr>
          <w:rFonts w:ascii="Arial" w:hAnsi="Arial" w:cs="Arial"/>
          <w:sz w:val="22"/>
          <w:szCs w:val="22"/>
        </w:rPr>
        <w:t xml:space="preserve">ystem). </w:t>
      </w:r>
      <w:r w:rsidR="004A4C4D" w:rsidRPr="00664737">
        <w:rPr>
          <w:rFonts w:ascii="Arial" w:hAnsi="Arial" w:cs="Arial"/>
          <w:sz w:val="22"/>
          <w:szCs w:val="22"/>
        </w:rPr>
        <w:t xml:space="preserve">The only modification is that </w:t>
      </w:r>
      <w:r w:rsidR="008E5E3B" w:rsidRPr="00664737">
        <w:rPr>
          <w:rFonts w:ascii="Arial" w:hAnsi="Arial" w:cs="Arial"/>
          <w:sz w:val="22"/>
          <w:szCs w:val="22"/>
        </w:rPr>
        <w:t xml:space="preserve">LAPES does not </w:t>
      </w:r>
      <w:r w:rsidRPr="00664737">
        <w:rPr>
          <w:rFonts w:ascii="Arial" w:hAnsi="Arial" w:cs="Arial"/>
          <w:sz w:val="22"/>
          <w:szCs w:val="22"/>
        </w:rPr>
        <w:t>require a bibliography</w:t>
      </w:r>
      <w:r w:rsidR="008E5E3B" w:rsidRPr="00664737">
        <w:rPr>
          <w:rFonts w:ascii="Arial" w:hAnsi="Arial" w:cs="Arial"/>
          <w:sz w:val="22"/>
          <w:szCs w:val="22"/>
        </w:rPr>
        <w:t xml:space="preserve"> at the end of the text</w:t>
      </w:r>
      <w:r w:rsidRPr="00664737">
        <w:rPr>
          <w:rFonts w:ascii="Arial" w:hAnsi="Arial" w:cs="Arial"/>
          <w:sz w:val="22"/>
          <w:szCs w:val="22"/>
        </w:rPr>
        <w:t xml:space="preserve">. </w:t>
      </w:r>
      <w:r w:rsidR="008E5E3B" w:rsidRPr="00664737">
        <w:rPr>
          <w:rFonts w:ascii="Arial" w:hAnsi="Arial" w:cs="Arial"/>
          <w:sz w:val="22"/>
          <w:szCs w:val="22"/>
        </w:rPr>
        <w:t xml:space="preserve">In this system, sources are cited in numbered footnotes (not endnotes). Each note corresponds to a raised (superscript) number in the text. </w:t>
      </w:r>
    </w:p>
    <w:p w14:paraId="18C44C5F" w14:textId="77777777" w:rsidR="008E5E3B" w:rsidRPr="00664737" w:rsidRDefault="008E5E3B" w:rsidP="004A4C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B29F78" w14:textId="36B5A4AA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 xml:space="preserve">The first time a work is cited, </w:t>
      </w:r>
      <w:r w:rsidR="004A4C4D" w:rsidRPr="00664737">
        <w:rPr>
          <w:rFonts w:ascii="Arial" w:hAnsi="Arial" w:cs="Arial"/>
          <w:sz w:val="22"/>
          <w:szCs w:val="22"/>
        </w:rPr>
        <w:t>include a</w:t>
      </w:r>
      <w:r w:rsidR="008E5E3B" w:rsidRPr="00664737">
        <w:rPr>
          <w:rFonts w:ascii="Arial" w:hAnsi="Arial" w:cs="Arial"/>
          <w:sz w:val="22"/>
          <w:szCs w:val="22"/>
        </w:rPr>
        <w:t xml:space="preserve"> </w:t>
      </w:r>
      <w:r w:rsidR="008E5E3B" w:rsidRPr="00664737">
        <w:rPr>
          <w:rFonts w:ascii="Arial" w:hAnsi="Arial" w:cs="Arial"/>
          <w:b/>
          <w:sz w:val="22"/>
          <w:szCs w:val="22"/>
        </w:rPr>
        <w:t>full note</w:t>
      </w:r>
      <w:r w:rsidR="008E5E3B" w:rsidRPr="00664737">
        <w:rPr>
          <w:rFonts w:ascii="Arial" w:hAnsi="Arial" w:cs="Arial"/>
          <w:sz w:val="22"/>
          <w:szCs w:val="22"/>
        </w:rPr>
        <w:t xml:space="preserve"> </w:t>
      </w:r>
      <w:r w:rsidR="00CD161E" w:rsidRPr="00664737">
        <w:rPr>
          <w:rFonts w:ascii="Arial" w:hAnsi="Arial" w:cs="Arial"/>
          <w:sz w:val="22"/>
          <w:szCs w:val="22"/>
        </w:rPr>
        <w:t xml:space="preserve">along </w:t>
      </w:r>
      <w:r w:rsidR="008E5E3B" w:rsidRPr="00664737">
        <w:rPr>
          <w:rFonts w:ascii="Arial" w:hAnsi="Arial" w:cs="Arial"/>
          <w:sz w:val="22"/>
          <w:szCs w:val="22"/>
        </w:rPr>
        <w:t>with a page number</w:t>
      </w:r>
      <w:r w:rsidR="00CD161E" w:rsidRPr="00664737">
        <w:rPr>
          <w:rFonts w:ascii="Arial" w:hAnsi="Arial" w:cs="Arial"/>
          <w:sz w:val="22"/>
          <w:szCs w:val="22"/>
        </w:rPr>
        <w:t>,</w:t>
      </w:r>
      <w:r w:rsidR="008E5E3B" w:rsidRPr="00664737">
        <w:rPr>
          <w:rFonts w:ascii="Arial" w:hAnsi="Arial" w:cs="Arial"/>
          <w:sz w:val="22"/>
          <w:szCs w:val="22"/>
        </w:rPr>
        <w:t xml:space="preserve"> unless </w:t>
      </w:r>
      <w:r w:rsidR="004A4C4D" w:rsidRPr="00664737">
        <w:rPr>
          <w:rFonts w:ascii="Arial" w:hAnsi="Arial" w:cs="Arial"/>
          <w:sz w:val="22"/>
          <w:szCs w:val="22"/>
        </w:rPr>
        <w:t>you are citing the</w:t>
      </w:r>
      <w:r w:rsidR="008E5E3B" w:rsidRPr="00664737">
        <w:rPr>
          <w:rFonts w:ascii="Arial" w:hAnsi="Arial" w:cs="Arial"/>
          <w:sz w:val="22"/>
          <w:szCs w:val="22"/>
        </w:rPr>
        <w:t xml:space="preserve"> entire book. All subsequent citations should follow the </w:t>
      </w:r>
      <w:r w:rsidR="008E5E3B" w:rsidRPr="00664737">
        <w:rPr>
          <w:rFonts w:ascii="Arial" w:hAnsi="Arial" w:cs="Arial"/>
          <w:b/>
          <w:sz w:val="22"/>
          <w:szCs w:val="22"/>
        </w:rPr>
        <w:t xml:space="preserve">short note </w:t>
      </w:r>
      <w:r w:rsidR="008E5E3B" w:rsidRPr="00664737">
        <w:rPr>
          <w:rFonts w:ascii="Arial" w:hAnsi="Arial" w:cs="Arial"/>
          <w:sz w:val="22"/>
          <w:szCs w:val="22"/>
        </w:rPr>
        <w:t>format.</w:t>
      </w:r>
      <w:r w:rsidRPr="00664737">
        <w:rPr>
          <w:rFonts w:ascii="Arial" w:hAnsi="Arial" w:cs="Arial"/>
          <w:sz w:val="22"/>
          <w:szCs w:val="22"/>
        </w:rPr>
        <w:t xml:space="preserve"> </w:t>
      </w:r>
      <w:r w:rsidR="008E5E3B" w:rsidRPr="00664737">
        <w:rPr>
          <w:rFonts w:ascii="Arial" w:hAnsi="Arial" w:cs="Arial"/>
          <w:sz w:val="22"/>
          <w:szCs w:val="22"/>
        </w:rPr>
        <w:t xml:space="preserve">Below you will find </w:t>
      </w:r>
      <w:r w:rsidR="00CD161E" w:rsidRPr="00664737">
        <w:rPr>
          <w:rFonts w:ascii="Arial" w:hAnsi="Arial" w:cs="Arial"/>
          <w:sz w:val="22"/>
          <w:szCs w:val="22"/>
        </w:rPr>
        <w:t>examples of common</w:t>
      </w:r>
      <w:r w:rsidR="008E5E3B" w:rsidRPr="00664737">
        <w:rPr>
          <w:rFonts w:ascii="Arial" w:hAnsi="Arial" w:cs="Arial"/>
          <w:sz w:val="22"/>
          <w:szCs w:val="22"/>
        </w:rPr>
        <w:t xml:space="preserve"> types of cited works. </w:t>
      </w:r>
      <w:r w:rsidRPr="00664737">
        <w:rPr>
          <w:rFonts w:ascii="Arial" w:hAnsi="Arial" w:cs="Arial"/>
          <w:sz w:val="22"/>
          <w:szCs w:val="22"/>
        </w:rPr>
        <w:t xml:space="preserve">For more details and examples, see </w:t>
      </w:r>
      <w:hyperlink r:id="rId8" w:history="1">
        <w:r w:rsidRPr="00664737">
          <w:rPr>
            <w:rFonts w:ascii="Arial" w:hAnsi="Arial" w:cs="Arial"/>
            <w:color w:val="0000FF"/>
            <w:sz w:val="22"/>
            <w:szCs w:val="22"/>
          </w:rPr>
          <w:t>chapter 14</w:t>
        </w:r>
      </w:hyperlink>
      <w:r w:rsidRPr="00664737">
        <w:rPr>
          <w:rFonts w:ascii="Arial" w:hAnsi="Arial" w:cs="Arial"/>
          <w:sz w:val="22"/>
          <w:szCs w:val="22"/>
        </w:rPr>
        <w:t xml:space="preserve"> of </w:t>
      </w:r>
      <w:r w:rsidRPr="00664737">
        <w:rPr>
          <w:rFonts w:ascii="Arial" w:hAnsi="Arial" w:cs="Arial"/>
          <w:i/>
          <w:iCs/>
          <w:sz w:val="22"/>
          <w:szCs w:val="22"/>
        </w:rPr>
        <w:t>The Chicago Manual of Style</w:t>
      </w:r>
      <w:r w:rsidR="004A4C4D" w:rsidRPr="00664737">
        <w:rPr>
          <w:rFonts w:ascii="Arial" w:hAnsi="Arial" w:cs="Arial"/>
          <w:sz w:val="22"/>
          <w:szCs w:val="22"/>
        </w:rPr>
        <w:t xml:space="preserve"> or past issues of </w:t>
      </w:r>
      <w:hyperlink r:id="rId9" w:history="1">
        <w:r w:rsidR="004A4C4D" w:rsidRPr="00555861">
          <w:rPr>
            <w:rStyle w:val="Hyperlink"/>
            <w:rFonts w:ascii="Arial" w:hAnsi="Arial" w:cs="Arial"/>
            <w:sz w:val="22"/>
            <w:szCs w:val="22"/>
            <w:u w:val="none"/>
          </w:rPr>
          <w:t>LÁPIZ</w:t>
        </w:r>
      </w:hyperlink>
      <w:r w:rsidR="004A4C4D" w:rsidRPr="00664737">
        <w:rPr>
          <w:rFonts w:ascii="Arial" w:hAnsi="Arial" w:cs="Arial"/>
          <w:sz w:val="22"/>
          <w:szCs w:val="22"/>
        </w:rPr>
        <w:t xml:space="preserve">. </w:t>
      </w:r>
    </w:p>
    <w:p w14:paraId="089C98F6" w14:textId="77777777" w:rsidR="00FD35D5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2E53DE" w14:textId="77777777" w:rsidR="00664737" w:rsidRPr="00664737" w:rsidRDefault="00664737" w:rsidP="004A4C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A4CB16" w14:textId="26717956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64737">
        <w:rPr>
          <w:rFonts w:ascii="Arial" w:hAnsi="Arial" w:cs="Arial"/>
          <w:b/>
          <w:bCs/>
          <w:sz w:val="22"/>
          <w:szCs w:val="22"/>
          <w:u w:val="single"/>
        </w:rPr>
        <w:t>Book</w:t>
      </w:r>
      <w:r w:rsidR="00822689">
        <w:rPr>
          <w:rFonts w:ascii="Arial" w:hAnsi="Arial" w:cs="Arial"/>
          <w:b/>
          <w:bCs/>
          <w:sz w:val="22"/>
          <w:szCs w:val="22"/>
          <w:u w:val="single"/>
        </w:rPr>
        <w:t xml:space="preserve"> (one author)</w:t>
      </w:r>
    </w:p>
    <w:p w14:paraId="1F101443" w14:textId="77777777" w:rsidR="00FD35D5" w:rsidRPr="00664737" w:rsidRDefault="008E5E3B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Full note</w:t>
      </w:r>
    </w:p>
    <w:p w14:paraId="46E61F30" w14:textId="5729A4FF" w:rsidR="00FD35D5" w:rsidRPr="00664737" w:rsidRDefault="00D21C02" w:rsidP="00D21C02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FD35D5" w:rsidRPr="00664737">
        <w:rPr>
          <w:rFonts w:ascii="Arial" w:hAnsi="Arial" w:cs="Arial"/>
          <w:sz w:val="22"/>
          <w:szCs w:val="22"/>
        </w:rPr>
        <w:t xml:space="preserve">Walter Mignolo, </w:t>
      </w:r>
      <w:r w:rsidR="00FD35D5" w:rsidRPr="00664737">
        <w:rPr>
          <w:rFonts w:ascii="Arial" w:hAnsi="Arial" w:cs="Arial"/>
          <w:i/>
          <w:iCs/>
          <w:sz w:val="22"/>
          <w:szCs w:val="22"/>
        </w:rPr>
        <w:t xml:space="preserve">The Darker Side of Western Modernity: Global Futures, Decolonial Options </w:t>
      </w:r>
      <w:r w:rsidR="00FD35D5" w:rsidRPr="00664737">
        <w:rPr>
          <w:rFonts w:ascii="Arial" w:hAnsi="Arial" w:cs="Arial"/>
          <w:sz w:val="22"/>
          <w:szCs w:val="22"/>
        </w:rPr>
        <w:t>(Durham: Duke University Press, 2011)</w:t>
      </w:r>
      <w:r w:rsidR="008E5E3B" w:rsidRPr="00664737">
        <w:rPr>
          <w:rFonts w:ascii="Arial" w:hAnsi="Arial" w:cs="Arial"/>
          <w:sz w:val="22"/>
          <w:szCs w:val="22"/>
        </w:rPr>
        <w:t>, 320</w:t>
      </w:r>
      <w:r w:rsidR="00FD35D5" w:rsidRPr="00664737">
        <w:rPr>
          <w:rFonts w:ascii="Arial" w:hAnsi="Arial" w:cs="Arial"/>
          <w:sz w:val="22"/>
          <w:szCs w:val="22"/>
        </w:rPr>
        <w:t xml:space="preserve">. </w:t>
      </w:r>
    </w:p>
    <w:p w14:paraId="05474DE8" w14:textId="77777777" w:rsidR="00FD35D5" w:rsidRPr="00664737" w:rsidRDefault="008E5E3B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Short note</w:t>
      </w:r>
    </w:p>
    <w:p w14:paraId="42345C2B" w14:textId="73ABAC7E" w:rsidR="00FD35D5" w:rsidRDefault="00CD161E" w:rsidP="0066473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>2</w:t>
      </w:r>
      <w:r w:rsidR="00FD35D5" w:rsidRPr="00664737">
        <w:rPr>
          <w:rFonts w:ascii="Arial" w:hAnsi="Arial" w:cs="Arial"/>
          <w:sz w:val="22"/>
          <w:szCs w:val="22"/>
        </w:rPr>
        <w:t xml:space="preserve"> Mignolo, </w:t>
      </w:r>
      <w:r w:rsidR="00FD35D5" w:rsidRPr="00664737">
        <w:rPr>
          <w:rFonts w:ascii="Arial" w:hAnsi="Arial" w:cs="Arial"/>
          <w:i/>
          <w:iCs/>
          <w:sz w:val="22"/>
          <w:szCs w:val="22"/>
        </w:rPr>
        <w:t>Darker Side</w:t>
      </w:r>
      <w:r w:rsidR="008E5E3B" w:rsidRPr="00664737">
        <w:rPr>
          <w:rFonts w:ascii="Arial" w:hAnsi="Arial" w:cs="Arial"/>
          <w:sz w:val="22"/>
          <w:szCs w:val="22"/>
        </w:rPr>
        <w:t>, 321</w:t>
      </w:r>
      <w:r w:rsidR="00FD35D5" w:rsidRPr="00664737">
        <w:rPr>
          <w:rFonts w:ascii="Arial" w:hAnsi="Arial" w:cs="Arial"/>
          <w:sz w:val="22"/>
          <w:szCs w:val="22"/>
        </w:rPr>
        <w:t>.</w:t>
      </w:r>
    </w:p>
    <w:p w14:paraId="33385773" w14:textId="77777777" w:rsidR="00664737" w:rsidRPr="00664737" w:rsidRDefault="00664737" w:rsidP="0066473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5E29C68E" w14:textId="77777777" w:rsidR="00664737" w:rsidRPr="00664737" w:rsidRDefault="00664737" w:rsidP="00664737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6DC0A9F8" w14:textId="77777777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64737">
        <w:rPr>
          <w:rFonts w:ascii="Arial" w:hAnsi="Arial" w:cs="Arial"/>
          <w:b/>
          <w:bCs/>
          <w:sz w:val="22"/>
          <w:szCs w:val="22"/>
          <w:u w:val="single"/>
        </w:rPr>
        <w:t>Chapter or other part of an edited book</w:t>
      </w:r>
    </w:p>
    <w:p w14:paraId="134592D2" w14:textId="77777777" w:rsidR="00FD35D5" w:rsidRPr="00664737" w:rsidRDefault="00CD161E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Full n</w:t>
      </w:r>
      <w:r w:rsidR="00FD35D5" w:rsidRPr="00664737">
        <w:rPr>
          <w:rFonts w:ascii="Arial" w:hAnsi="Arial" w:cs="Arial"/>
          <w:b/>
          <w:bCs/>
          <w:i/>
          <w:iCs/>
          <w:sz w:val="22"/>
          <w:szCs w:val="22"/>
        </w:rPr>
        <w:t>ote</w:t>
      </w:r>
    </w:p>
    <w:p w14:paraId="6F1E425A" w14:textId="77777777" w:rsidR="00FD35D5" w:rsidRPr="00664737" w:rsidRDefault="00FD35D5" w:rsidP="00D21C02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 xml:space="preserve">1. Henry David Thoreau, “Walking,” in </w:t>
      </w:r>
      <w:r w:rsidRPr="00664737">
        <w:rPr>
          <w:rFonts w:ascii="Arial" w:hAnsi="Arial" w:cs="Arial"/>
          <w:i/>
          <w:iCs/>
          <w:sz w:val="22"/>
          <w:szCs w:val="22"/>
        </w:rPr>
        <w:t>The Making of the American Essay</w:t>
      </w:r>
      <w:r w:rsidRPr="00664737">
        <w:rPr>
          <w:rFonts w:ascii="Arial" w:hAnsi="Arial" w:cs="Arial"/>
          <w:sz w:val="22"/>
          <w:szCs w:val="22"/>
        </w:rPr>
        <w:t>, ed. John D’Agata (Minneapolis: Graywolf Press, 2016), 177–78.</w:t>
      </w:r>
    </w:p>
    <w:p w14:paraId="76E45C25" w14:textId="77777777" w:rsidR="00FD35D5" w:rsidRPr="00664737" w:rsidRDefault="00CD161E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Short</w:t>
      </w:r>
      <w:r w:rsidR="00FD35D5" w:rsidRPr="00664737">
        <w:rPr>
          <w:rFonts w:ascii="Arial" w:hAnsi="Arial" w:cs="Arial"/>
          <w:b/>
          <w:bCs/>
          <w:i/>
          <w:iCs/>
          <w:sz w:val="22"/>
          <w:szCs w:val="22"/>
        </w:rPr>
        <w:t xml:space="preserve"> note</w:t>
      </w:r>
    </w:p>
    <w:p w14:paraId="31AFF58C" w14:textId="77777777" w:rsidR="00FD35D5" w:rsidRPr="00664737" w:rsidRDefault="00FD35D5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>2. Thoreau, “Walking,” 182.</w:t>
      </w:r>
    </w:p>
    <w:p w14:paraId="4A2F1465" w14:textId="77777777" w:rsidR="00664737" w:rsidRPr="00664737" w:rsidRDefault="00664737" w:rsidP="004A4C4D">
      <w:pPr>
        <w:rPr>
          <w:rFonts w:ascii="Arial" w:hAnsi="Arial" w:cs="Arial"/>
          <w:sz w:val="22"/>
          <w:szCs w:val="22"/>
        </w:rPr>
      </w:pPr>
    </w:p>
    <w:p w14:paraId="303D195C" w14:textId="77777777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64737">
        <w:rPr>
          <w:rFonts w:ascii="Arial" w:hAnsi="Arial" w:cs="Arial"/>
          <w:b/>
          <w:bCs/>
          <w:sz w:val="22"/>
          <w:szCs w:val="22"/>
          <w:u w:val="single"/>
        </w:rPr>
        <w:lastRenderedPageBreak/>
        <w:t>Translated book</w:t>
      </w:r>
    </w:p>
    <w:p w14:paraId="33029E0A" w14:textId="77777777" w:rsidR="00CD161E" w:rsidRPr="00664737" w:rsidRDefault="00CD161E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Full n</w:t>
      </w:r>
      <w:r w:rsidR="00FD35D5" w:rsidRPr="00664737">
        <w:rPr>
          <w:rFonts w:ascii="Arial" w:hAnsi="Arial" w:cs="Arial"/>
          <w:b/>
          <w:bCs/>
          <w:i/>
          <w:iCs/>
          <w:sz w:val="22"/>
          <w:szCs w:val="22"/>
        </w:rPr>
        <w:t>ote</w:t>
      </w:r>
    </w:p>
    <w:p w14:paraId="0675A148" w14:textId="77777777" w:rsidR="00CD161E" w:rsidRDefault="00CD161E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 xml:space="preserve">1. Paulo Freire, </w:t>
      </w:r>
      <w:r w:rsidRPr="00664737">
        <w:rPr>
          <w:rFonts w:ascii="Arial" w:hAnsi="Arial" w:cs="Arial"/>
          <w:i/>
          <w:iCs/>
          <w:sz w:val="22"/>
          <w:szCs w:val="22"/>
        </w:rPr>
        <w:t>Pedagogy of the Oppressed</w:t>
      </w:r>
      <w:r w:rsidRPr="00664737">
        <w:rPr>
          <w:rFonts w:ascii="Arial" w:hAnsi="Arial" w:cs="Arial"/>
          <w:sz w:val="22"/>
          <w:szCs w:val="22"/>
        </w:rPr>
        <w:t>, trans. Myra Bergman Ramos (New York: Continuum, 1993), 55.</w:t>
      </w:r>
    </w:p>
    <w:p w14:paraId="5A725426" w14:textId="77777777" w:rsidR="00664737" w:rsidRPr="00664737" w:rsidRDefault="00664737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69B8EABF" w14:textId="77777777" w:rsidR="00FD35D5" w:rsidRPr="00664737" w:rsidRDefault="00CD161E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Short</w:t>
      </w:r>
      <w:r w:rsidR="00FD35D5" w:rsidRPr="00664737">
        <w:rPr>
          <w:rFonts w:ascii="Arial" w:hAnsi="Arial" w:cs="Arial"/>
          <w:b/>
          <w:bCs/>
          <w:i/>
          <w:iCs/>
          <w:sz w:val="22"/>
          <w:szCs w:val="22"/>
        </w:rPr>
        <w:t xml:space="preserve"> note</w:t>
      </w:r>
    </w:p>
    <w:p w14:paraId="761285F0" w14:textId="77777777" w:rsidR="00FD35D5" w:rsidRPr="00664737" w:rsidRDefault="00FD35D5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 xml:space="preserve">2. </w:t>
      </w:r>
      <w:r w:rsidR="00CD161E" w:rsidRPr="00664737">
        <w:rPr>
          <w:rFonts w:ascii="Arial" w:hAnsi="Arial" w:cs="Arial"/>
          <w:sz w:val="22"/>
          <w:szCs w:val="22"/>
        </w:rPr>
        <w:t>Freire</w:t>
      </w:r>
      <w:r w:rsidRPr="00664737">
        <w:rPr>
          <w:rFonts w:ascii="Arial" w:hAnsi="Arial" w:cs="Arial"/>
          <w:sz w:val="22"/>
          <w:szCs w:val="22"/>
        </w:rPr>
        <w:t xml:space="preserve">, </w:t>
      </w:r>
      <w:r w:rsidR="00CD161E" w:rsidRPr="00664737">
        <w:rPr>
          <w:rFonts w:ascii="Arial" w:hAnsi="Arial" w:cs="Arial"/>
          <w:i/>
          <w:iCs/>
          <w:sz w:val="22"/>
          <w:szCs w:val="22"/>
        </w:rPr>
        <w:t>Pedagogy of the Oppressed</w:t>
      </w:r>
      <w:r w:rsidR="00CD161E" w:rsidRPr="00664737">
        <w:rPr>
          <w:rFonts w:ascii="Arial" w:hAnsi="Arial" w:cs="Arial"/>
          <w:sz w:val="22"/>
          <w:szCs w:val="22"/>
        </w:rPr>
        <w:t>, 56</w:t>
      </w:r>
      <w:r w:rsidRPr="00664737">
        <w:rPr>
          <w:rFonts w:ascii="Arial" w:hAnsi="Arial" w:cs="Arial"/>
          <w:sz w:val="22"/>
          <w:szCs w:val="22"/>
        </w:rPr>
        <w:t>.</w:t>
      </w:r>
    </w:p>
    <w:p w14:paraId="3FA93F40" w14:textId="77777777" w:rsidR="00FD35D5" w:rsidRDefault="00FD35D5" w:rsidP="004A4C4D">
      <w:pPr>
        <w:rPr>
          <w:rFonts w:ascii="Arial" w:hAnsi="Arial" w:cs="Arial"/>
          <w:sz w:val="22"/>
          <w:szCs w:val="22"/>
        </w:rPr>
      </w:pPr>
    </w:p>
    <w:p w14:paraId="0B5411B7" w14:textId="77777777" w:rsidR="00664737" w:rsidRPr="00664737" w:rsidRDefault="00664737" w:rsidP="004A4C4D">
      <w:pPr>
        <w:rPr>
          <w:rFonts w:ascii="Arial" w:hAnsi="Arial" w:cs="Arial"/>
          <w:sz w:val="22"/>
          <w:szCs w:val="22"/>
        </w:rPr>
      </w:pPr>
    </w:p>
    <w:p w14:paraId="5AEC45DA" w14:textId="77777777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64737">
        <w:rPr>
          <w:rFonts w:ascii="Arial" w:hAnsi="Arial" w:cs="Arial"/>
          <w:b/>
          <w:bCs/>
          <w:sz w:val="22"/>
          <w:szCs w:val="22"/>
          <w:u w:val="single"/>
        </w:rPr>
        <w:t>Journal article</w:t>
      </w:r>
    </w:p>
    <w:p w14:paraId="3540A09A" w14:textId="3E5872A8" w:rsidR="00FD35D5" w:rsidRPr="00664737" w:rsidRDefault="00FD35D5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664737">
        <w:rPr>
          <w:rFonts w:ascii="Arial" w:hAnsi="Arial" w:cs="Arial"/>
          <w:sz w:val="22"/>
          <w:szCs w:val="22"/>
        </w:rPr>
        <w:t>For articles consulted online, include a URL or the name of the database. Many journal articles list a DOI (Digital Object Identifier). A DOI forms a permanent URL that begins https://doi.org/. This URL is preferable to the URL that appears in your browser’s address bar.</w:t>
      </w:r>
    </w:p>
    <w:p w14:paraId="0B5DF6B6" w14:textId="77777777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CE5186" w14:textId="252A9C70" w:rsidR="00FD35D5" w:rsidRPr="00664737" w:rsidRDefault="004A4C4D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64737">
        <w:rPr>
          <w:rFonts w:ascii="Arial" w:hAnsi="Arial" w:cs="Arial"/>
          <w:b/>
          <w:bCs/>
          <w:i/>
          <w:iCs/>
          <w:sz w:val="22"/>
          <w:szCs w:val="22"/>
        </w:rPr>
        <w:t>Full n</w:t>
      </w:r>
      <w:r w:rsidR="00FD35D5" w:rsidRPr="00664737">
        <w:rPr>
          <w:rFonts w:ascii="Arial" w:hAnsi="Arial" w:cs="Arial"/>
          <w:b/>
          <w:bCs/>
          <w:i/>
          <w:iCs/>
          <w:sz w:val="22"/>
          <w:szCs w:val="22"/>
        </w:rPr>
        <w:t>otes</w:t>
      </w:r>
    </w:p>
    <w:p w14:paraId="11529B94" w14:textId="7585D135" w:rsidR="004A4C4D" w:rsidRPr="00664737" w:rsidRDefault="00D21C02" w:rsidP="00D21C02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4A4C4D" w:rsidRPr="00664737">
        <w:rPr>
          <w:rFonts w:ascii="Arial" w:hAnsi="Arial" w:cs="Arial"/>
          <w:sz w:val="22"/>
          <w:szCs w:val="22"/>
        </w:rPr>
        <w:t xml:space="preserve">Tracy Devine Guzmán, “Povos indígenas e ‘a diversidade cultural’: uma visão desde Austrália, Brasil, Índia e Peru,” </w:t>
      </w:r>
      <w:r w:rsidR="004A4C4D" w:rsidRPr="00664737">
        <w:rPr>
          <w:rFonts w:ascii="Arial" w:hAnsi="Arial" w:cs="Arial"/>
          <w:i/>
          <w:iCs/>
          <w:sz w:val="22"/>
          <w:szCs w:val="22"/>
        </w:rPr>
        <w:t xml:space="preserve">Revista Observatório </w:t>
      </w:r>
      <w:r w:rsidR="004A4C4D" w:rsidRPr="00664737">
        <w:rPr>
          <w:rFonts w:ascii="Arial" w:hAnsi="Arial" w:cs="Arial"/>
          <w:sz w:val="22"/>
          <w:szCs w:val="22"/>
        </w:rPr>
        <w:t xml:space="preserve">20 (2016): 3. </w:t>
      </w:r>
    </w:p>
    <w:p w14:paraId="5AA30A13" w14:textId="0ED81514" w:rsidR="00FD35D5" w:rsidRPr="00664737" w:rsidRDefault="00D21C02" w:rsidP="00D21C02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D35D5" w:rsidRPr="00664737">
        <w:rPr>
          <w:rFonts w:ascii="Arial" w:hAnsi="Arial" w:cs="Arial"/>
          <w:sz w:val="22"/>
          <w:szCs w:val="22"/>
        </w:rPr>
        <w:t xml:space="preserve"> Shao-Hsun Keng, Chun-Hung Lin, and Peter F. Orazem, “Expanding College Access in Taiwan, 1978–2014: Effects on Graduate Quality and Income Inequality,” </w:t>
      </w:r>
      <w:r w:rsidR="00FD35D5" w:rsidRPr="00664737">
        <w:rPr>
          <w:rFonts w:ascii="Arial" w:hAnsi="Arial" w:cs="Arial"/>
          <w:i/>
          <w:iCs/>
          <w:sz w:val="22"/>
          <w:szCs w:val="22"/>
        </w:rPr>
        <w:t>Journal of Human Capital</w:t>
      </w:r>
      <w:r w:rsidR="00FD35D5" w:rsidRPr="00664737">
        <w:rPr>
          <w:rFonts w:ascii="Arial" w:hAnsi="Arial" w:cs="Arial"/>
          <w:sz w:val="22"/>
          <w:szCs w:val="22"/>
        </w:rPr>
        <w:t xml:space="preserve"> 11, no. 1 (Spring 2017): 9–10, https://doi.org/10.1086/690235.</w:t>
      </w:r>
    </w:p>
    <w:p w14:paraId="3BC65125" w14:textId="107B050B" w:rsidR="00FD35D5" w:rsidRPr="00664737" w:rsidRDefault="00D21C02" w:rsidP="00D21C02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D35D5" w:rsidRPr="00664737">
        <w:rPr>
          <w:rFonts w:ascii="Arial" w:hAnsi="Arial" w:cs="Arial"/>
          <w:sz w:val="22"/>
          <w:szCs w:val="22"/>
        </w:rPr>
        <w:t xml:space="preserve"> Peter LaSalle, “Conundrum: A Story about Reading,” </w:t>
      </w:r>
      <w:r w:rsidR="00FD35D5" w:rsidRPr="00664737">
        <w:rPr>
          <w:rFonts w:ascii="Arial" w:hAnsi="Arial" w:cs="Arial"/>
          <w:i/>
          <w:iCs/>
          <w:sz w:val="22"/>
          <w:szCs w:val="22"/>
        </w:rPr>
        <w:t xml:space="preserve">New England Review </w:t>
      </w:r>
      <w:r w:rsidR="00FD35D5" w:rsidRPr="00664737">
        <w:rPr>
          <w:rFonts w:ascii="Arial" w:hAnsi="Arial" w:cs="Arial"/>
          <w:sz w:val="22"/>
          <w:szCs w:val="22"/>
        </w:rPr>
        <w:t>38, no. 1 (2017): 95, Project MUSE.</w:t>
      </w:r>
    </w:p>
    <w:p w14:paraId="4223D4E7" w14:textId="77777777" w:rsidR="00FD35D5" w:rsidRPr="00664737" w:rsidRDefault="00FD35D5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AB814D" w14:textId="6D9524E4" w:rsidR="00FD35D5" w:rsidRPr="00664737" w:rsidRDefault="00822689" w:rsidP="004A4C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Short</w:t>
      </w:r>
      <w:r w:rsidR="00FD35D5" w:rsidRPr="00664737">
        <w:rPr>
          <w:rFonts w:ascii="Arial" w:hAnsi="Arial" w:cs="Arial"/>
          <w:b/>
          <w:bCs/>
          <w:i/>
          <w:iCs/>
          <w:sz w:val="22"/>
          <w:szCs w:val="22"/>
        </w:rPr>
        <w:t xml:space="preserve"> notes</w:t>
      </w:r>
    </w:p>
    <w:p w14:paraId="158C4995" w14:textId="10E8600F" w:rsidR="00FD35D5" w:rsidRPr="00664737" w:rsidRDefault="00D21C02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D35D5" w:rsidRPr="00664737">
        <w:rPr>
          <w:rFonts w:ascii="Arial" w:hAnsi="Arial" w:cs="Arial"/>
          <w:sz w:val="22"/>
          <w:szCs w:val="22"/>
        </w:rPr>
        <w:t xml:space="preserve"> </w:t>
      </w:r>
      <w:r w:rsidR="004A4C4D" w:rsidRPr="00664737">
        <w:rPr>
          <w:rFonts w:ascii="Arial" w:hAnsi="Arial" w:cs="Arial"/>
          <w:sz w:val="22"/>
          <w:szCs w:val="22"/>
        </w:rPr>
        <w:t>Devine Guzmán</w:t>
      </w:r>
      <w:r w:rsidR="00FD35D5" w:rsidRPr="00664737">
        <w:rPr>
          <w:rFonts w:ascii="Arial" w:hAnsi="Arial" w:cs="Arial"/>
          <w:sz w:val="22"/>
          <w:szCs w:val="22"/>
        </w:rPr>
        <w:t>, “</w:t>
      </w:r>
      <w:r w:rsidR="004A4C4D" w:rsidRPr="00664737">
        <w:rPr>
          <w:rFonts w:ascii="Arial" w:hAnsi="Arial" w:cs="Arial"/>
          <w:sz w:val="22"/>
          <w:szCs w:val="22"/>
        </w:rPr>
        <w:t>Povos</w:t>
      </w:r>
      <w:r w:rsidR="00FD35D5" w:rsidRPr="00664737">
        <w:rPr>
          <w:rFonts w:ascii="Arial" w:hAnsi="Arial" w:cs="Arial"/>
          <w:sz w:val="22"/>
          <w:szCs w:val="22"/>
        </w:rPr>
        <w:t xml:space="preserve">,” </w:t>
      </w:r>
      <w:r w:rsidR="004A4C4D" w:rsidRPr="00664737">
        <w:rPr>
          <w:rFonts w:ascii="Arial" w:hAnsi="Arial" w:cs="Arial"/>
          <w:sz w:val="22"/>
          <w:szCs w:val="22"/>
        </w:rPr>
        <w:t>4-5</w:t>
      </w:r>
      <w:r w:rsidR="00FD35D5" w:rsidRPr="00664737">
        <w:rPr>
          <w:rFonts w:ascii="Arial" w:hAnsi="Arial" w:cs="Arial"/>
          <w:sz w:val="22"/>
          <w:szCs w:val="22"/>
        </w:rPr>
        <w:t>.</w:t>
      </w:r>
    </w:p>
    <w:p w14:paraId="41EF8E1A" w14:textId="0E631AAD" w:rsidR="00FD35D5" w:rsidRPr="00664737" w:rsidRDefault="00D21C02" w:rsidP="00D21C02">
      <w:pPr>
        <w:widowControl w:val="0"/>
        <w:autoSpaceDE w:val="0"/>
        <w:autoSpaceDN w:val="0"/>
        <w:adjustRightInd w:val="0"/>
        <w:ind w:left="36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D35D5" w:rsidRPr="00664737">
        <w:rPr>
          <w:rFonts w:ascii="Arial" w:hAnsi="Arial" w:cs="Arial"/>
          <w:sz w:val="22"/>
          <w:szCs w:val="22"/>
        </w:rPr>
        <w:t xml:space="preserve"> Keng, Lin, and Orazem, “Expanding College Access,” 23.</w:t>
      </w:r>
    </w:p>
    <w:p w14:paraId="1E2B6565" w14:textId="1E16F1AD" w:rsidR="00FD35D5" w:rsidRPr="00664737" w:rsidRDefault="00D21C02" w:rsidP="004A4C4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35D5" w:rsidRPr="00664737">
        <w:rPr>
          <w:rFonts w:ascii="Arial" w:hAnsi="Arial" w:cs="Arial"/>
          <w:sz w:val="22"/>
          <w:szCs w:val="22"/>
        </w:rPr>
        <w:t xml:space="preserve"> LaSalle, “Conundrum,” 101.</w:t>
      </w:r>
    </w:p>
    <w:p w14:paraId="05AD377F" w14:textId="6136B410" w:rsidR="00CC3E62" w:rsidRDefault="00CC3E62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14541730" w14:textId="3132A3E7" w:rsidR="00664737" w:rsidRPr="00664737" w:rsidRDefault="00664737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Normas Editoriales</w:t>
      </w:r>
      <w:r w:rsidR="00CC3E62" w:rsidRPr="00CC3E62">
        <w:rPr>
          <w:rFonts w:ascii="Arial" w:hAnsi="Arial" w:cs="Arial"/>
          <w:b/>
          <w:bCs/>
          <w:sz w:val="22"/>
          <w:szCs w:val="22"/>
        </w:rPr>
        <w:t xml:space="preserve"> </w:t>
      </w:r>
      <w:r w:rsidR="00CC3E62">
        <w:rPr>
          <w:rFonts w:ascii="Arial" w:hAnsi="Arial" w:cs="Arial"/>
          <w:b/>
          <w:bCs/>
          <w:sz w:val="22"/>
          <w:szCs w:val="22"/>
        </w:rPr>
        <w:t xml:space="preserve">de </w:t>
      </w:r>
      <w:r w:rsidR="00CC3E62" w:rsidRPr="00664737">
        <w:rPr>
          <w:rFonts w:ascii="Arial" w:hAnsi="Arial" w:cs="Arial"/>
          <w:b/>
          <w:bCs/>
          <w:sz w:val="22"/>
          <w:szCs w:val="22"/>
        </w:rPr>
        <w:t>LÁPIZ</w:t>
      </w:r>
    </w:p>
    <w:p w14:paraId="790A4A2D" w14:textId="77777777" w:rsidR="00664737" w:rsidRPr="00664737" w:rsidRDefault="00664737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ACC93F7" w14:textId="7EC69008" w:rsidR="00664737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Citas de acuerdo al estilo Chicago: Guía</w:t>
      </w:r>
      <w:r w:rsidR="00CC3E62" w:rsidRPr="00CC3E62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D85F1D" w14:textId="77777777" w:rsidR="00664737" w:rsidRDefault="00664737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57BD6B" w14:textId="39462E9C" w:rsidR="00664737" w:rsidRPr="00555861" w:rsidRDefault="00664737" w:rsidP="008226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  <w:r w:rsidRPr="00822689">
        <w:rPr>
          <w:rFonts w:ascii="Arial" w:hAnsi="Arial" w:cs="Arial"/>
          <w:sz w:val="22"/>
          <w:szCs w:val="22"/>
          <w:lang w:val="es-ES_tradnl"/>
        </w:rPr>
        <w:t>LÁPIZ ut</w:t>
      </w:r>
      <w:r w:rsidR="00D21C02" w:rsidRPr="00822689">
        <w:rPr>
          <w:rFonts w:ascii="Arial" w:hAnsi="Arial" w:cs="Arial"/>
          <w:sz w:val="22"/>
          <w:szCs w:val="22"/>
          <w:lang w:val="es-ES_tradnl"/>
        </w:rPr>
        <w:t>i</w:t>
      </w:r>
      <w:r w:rsidRPr="00822689">
        <w:rPr>
          <w:rFonts w:ascii="Arial" w:hAnsi="Arial" w:cs="Arial"/>
          <w:sz w:val="22"/>
          <w:szCs w:val="22"/>
          <w:lang w:val="es-ES_tradnl"/>
        </w:rPr>
        <w:t xml:space="preserve">liza una versión del sistema “notas y bibliografía” de </w:t>
      </w:r>
      <w:r w:rsidRPr="00555861">
        <w:rPr>
          <w:rFonts w:ascii="Arial" w:hAnsi="Arial" w:cs="Arial"/>
          <w:sz w:val="22"/>
          <w:szCs w:val="22"/>
          <w:lang w:val="es-ES_tradnl"/>
        </w:rPr>
        <w:t>acuerdo al estilo Chicago (no aceptamos el sistema “autor-fecha” del mismo estilo). Los autores deben  utilizar únicamente notas al pie (no al final) sin presentar una bibliografía.</w:t>
      </w:r>
      <w:r w:rsidR="00D21C02" w:rsidRPr="00555861">
        <w:rPr>
          <w:rFonts w:ascii="Arial" w:hAnsi="Arial" w:cs="Arial"/>
          <w:sz w:val="22"/>
          <w:szCs w:val="22"/>
          <w:lang w:val="es-ES_tradnl"/>
        </w:rPr>
        <w:t xml:space="preserve"> Cada nota corresponde a un número superíndice en el texto. </w:t>
      </w:r>
    </w:p>
    <w:p w14:paraId="3797AB6D" w14:textId="77777777" w:rsidR="00822689" w:rsidRPr="00555861" w:rsidRDefault="00822689" w:rsidP="008226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14:paraId="700E2EC4" w14:textId="1CF691E4" w:rsidR="00FD35D5" w:rsidRPr="00555861" w:rsidRDefault="00D21C02" w:rsidP="0082268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>L</w:t>
      </w:r>
      <w:r w:rsidR="00664737" w:rsidRPr="00555861">
        <w:rPr>
          <w:rFonts w:ascii="Arial" w:hAnsi="Arial" w:cs="Arial"/>
          <w:sz w:val="22"/>
          <w:szCs w:val="22"/>
          <w:lang w:val="es-ES_tradnl"/>
        </w:rPr>
        <w:t xml:space="preserve">a primera vez que se cita una fuente su nota correspondiente debe incluir una “referencia completa”. </w:t>
      </w:r>
      <w:r w:rsidRPr="00555861">
        <w:rPr>
          <w:rFonts w:ascii="Arial" w:hAnsi="Arial" w:cs="Arial"/>
          <w:sz w:val="22"/>
          <w:szCs w:val="22"/>
          <w:lang w:val="es-ES_tradnl"/>
        </w:rPr>
        <w:t>Después</w:t>
      </w:r>
      <w:r w:rsidR="00664737" w:rsidRPr="00555861">
        <w:rPr>
          <w:rFonts w:ascii="Arial" w:hAnsi="Arial" w:cs="Arial"/>
          <w:sz w:val="22"/>
          <w:szCs w:val="22"/>
          <w:lang w:val="es-ES_tradnl"/>
        </w:rPr>
        <w:t xml:space="preserve"> de la primera “referencia completa”, esta misma fuente debe citarse con una “referencia corta</w:t>
      </w:r>
      <w:r w:rsidRPr="00555861">
        <w:rPr>
          <w:rFonts w:ascii="Arial" w:hAnsi="Arial" w:cs="Arial"/>
          <w:sz w:val="22"/>
          <w:szCs w:val="22"/>
          <w:lang w:val="es-ES_tradnl"/>
        </w:rPr>
        <w:t xml:space="preserve">.” Abajo se encuentran ejemplos de las dos referencias para fuentes comunes. Para más detalles y ejemplos, consulte </w:t>
      </w:r>
      <w:r w:rsidR="00822689" w:rsidRPr="0055586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22689" w:rsidRPr="00555861">
        <w:rPr>
          <w:rFonts w:ascii="Arial" w:hAnsi="Arial" w:cs="Arial"/>
          <w:color w:val="0000FF"/>
          <w:sz w:val="22"/>
          <w:szCs w:val="22"/>
          <w:lang w:val="es-ES_tradnl"/>
        </w:rPr>
        <w:fldChar w:fldCharType="begin"/>
      </w:r>
      <w:r w:rsidR="00822689" w:rsidRPr="00555861">
        <w:rPr>
          <w:rFonts w:ascii="Arial" w:hAnsi="Arial" w:cs="Arial"/>
          <w:color w:val="0000FF"/>
          <w:sz w:val="22"/>
          <w:szCs w:val="22"/>
          <w:lang w:val="es-ES_tradnl"/>
        </w:rPr>
        <w:instrText>HYPERLINK "https://www.chicagomanualofstyle.org/book/ed17/part3/ch14/toc.html"</w:instrText>
      </w:r>
      <w:r w:rsidR="00822689" w:rsidRPr="00555861">
        <w:rPr>
          <w:rFonts w:ascii="Arial" w:hAnsi="Arial" w:cs="Arial"/>
          <w:color w:val="0000FF"/>
          <w:sz w:val="22"/>
          <w:szCs w:val="22"/>
          <w:lang w:val="es-ES_tradnl"/>
        </w:rPr>
      </w:r>
      <w:r w:rsidR="00822689" w:rsidRPr="00555861">
        <w:rPr>
          <w:rFonts w:ascii="Arial" w:hAnsi="Arial" w:cs="Arial"/>
          <w:color w:val="0000FF"/>
          <w:sz w:val="22"/>
          <w:szCs w:val="22"/>
          <w:lang w:val="es-ES_tradnl"/>
        </w:rPr>
        <w:fldChar w:fldCharType="separate"/>
      </w:r>
      <w:r w:rsidR="00822689" w:rsidRPr="00555861">
        <w:rPr>
          <w:rFonts w:ascii="Arial" w:hAnsi="Arial" w:cs="Arial"/>
          <w:color w:val="0000FF"/>
          <w:sz w:val="22"/>
          <w:szCs w:val="22"/>
          <w:lang w:val="es-ES_tradnl"/>
        </w:rPr>
        <w:t>capítulo 14</w:t>
      </w:r>
      <w:r w:rsidR="00822689" w:rsidRPr="00555861">
        <w:rPr>
          <w:rFonts w:ascii="Arial" w:hAnsi="Arial" w:cs="Arial"/>
          <w:color w:val="0000FF"/>
          <w:sz w:val="22"/>
          <w:szCs w:val="22"/>
          <w:lang w:val="es-ES_tradnl"/>
        </w:rPr>
        <w:fldChar w:fldCharType="end"/>
      </w:r>
      <w:r w:rsidR="00B63EC5">
        <w:rPr>
          <w:rFonts w:ascii="Arial" w:hAnsi="Arial" w:cs="Arial"/>
          <w:sz w:val="22"/>
          <w:szCs w:val="22"/>
          <w:lang w:val="es-ES_tradnl"/>
        </w:rPr>
        <w:t xml:space="preserve"> de</w:t>
      </w:r>
      <w:bookmarkStart w:id="0" w:name="_GoBack"/>
      <w:bookmarkEnd w:id="0"/>
      <w:r w:rsidR="00822689" w:rsidRPr="0055586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22689" w:rsidRPr="00555861">
        <w:rPr>
          <w:rFonts w:ascii="Arial" w:hAnsi="Arial" w:cs="Arial"/>
          <w:i/>
          <w:iCs/>
          <w:sz w:val="22"/>
          <w:szCs w:val="22"/>
          <w:lang w:val="es-ES_tradnl"/>
        </w:rPr>
        <w:t xml:space="preserve">The Chicago Manual of Style (en inglés), una </w:t>
      </w:r>
      <w:hyperlink r:id="rId10" w:history="1">
        <w:r w:rsidR="00822689" w:rsidRPr="00555861">
          <w:rPr>
            <w:rStyle w:val="Hyperlink"/>
            <w:rFonts w:ascii="Arial" w:hAnsi="Arial" w:cs="Arial"/>
            <w:i/>
            <w:iCs/>
            <w:sz w:val="22"/>
            <w:szCs w:val="22"/>
            <w:u w:val="none"/>
            <w:lang w:val="es-ES_tradnl"/>
          </w:rPr>
          <w:t>versión española</w:t>
        </w:r>
      </w:hyperlink>
      <w:r w:rsidR="00822689" w:rsidRPr="00555861">
        <w:rPr>
          <w:rFonts w:ascii="Arial" w:hAnsi="Arial" w:cs="Arial"/>
          <w:i/>
          <w:iCs/>
          <w:sz w:val="22"/>
          <w:szCs w:val="22"/>
          <w:lang w:val="es-ES_tradnl"/>
        </w:rPr>
        <w:t xml:space="preserve"> del mismo por La Un</w:t>
      </w:r>
      <w:r w:rsidR="00B63EC5">
        <w:rPr>
          <w:rFonts w:ascii="Arial" w:hAnsi="Arial" w:cs="Arial"/>
          <w:i/>
          <w:iCs/>
          <w:sz w:val="22"/>
          <w:szCs w:val="22"/>
          <w:lang w:val="es-ES_tradnl"/>
        </w:rPr>
        <w:t>iversidad de los Andes (Bogotá)</w:t>
      </w:r>
      <w:r w:rsidR="00822689" w:rsidRPr="00555861">
        <w:rPr>
          <w:rFonts w:ascii="Arial" w:hAnsi="Arial" w:cs="Arial"/>
          <w:i/>
          <w:iCs/>
          <w:sz w:val="22"/>
          <w:szCs w:val="22"/>
          <w:lang w:val="es-ES_tradnl"/>
        </w:rPr>
        <w:t xml:space="preserve"> y ediciones anteriores de </w:t>
      </w:r>
      <w:hyperlink r:id="rId11" w:history="1">
        <w:r w:rsidR="00822689" w:rsidRPr="00555861">
          <w:rPr>
            <w:rStyle w:val="Hyperlink"/>
            <w:rFonts w:ascii="Arial" w:hAnsi="Arial" w:cs="Arial"/>
            <w:i/>
            <w:iCs/>
            <w:sz w:val="22"/>
            <w:szCs w:val="22"/>
            <w:u w:val="none"/>
            <w:lang w:val="es-ES_tradnl"/>
          </w:rPr>
          <w:t>LÁPIZ</w:t>
        </w:r>
      </w:hyperlink>
      <w:r w:rsidR="00822689" w:rsidRPr="00555861">
        <w:rPr>
          <w:rFonts w:ascii="Arial" w:hAnsi="Arial" w:cs="Arial"/>
          <w:i/>
          <w:iCs/>
          <w:sz w:val="22"/>
          <w:szCs w:val="22"/>
          <w:lang w:val="es-ES_tradnl"/>
        </w:rPr>
        <w:t xml:space="preserve">. </w:t>
      </w:r>
    </w:p>
    <w:p w14:paraId="40EA9C49" w14:textId="77777777" w:rsidR="00822689" w:rsidRPr="00555861" w:rsidRDefault="00822689" w:rsidP="0082268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  <w:lang w:val="es-ES_tradnl"/>
        </w:rPr>
      </w:pPr>
    </w:p>
    <w:p w14:paraId="0A35AEF4" w14:textId="0775BA7B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555861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Libro (un autor)</w:t>
      </w:r>
    </w:p>
    <w:p w14:paraId="48857F96" w14:textId="22D5BC0C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 completa</w:t>
      </w:r>
    </w:p>
    <w:p w14:paraId="447C7921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 xml:space="preserve">1 Walter Mignolo, </w:t>
      </w:r>
      <w:r w:rsidRPr="00555861">
        <w:rPr>
          <w:rFonts w:ascii="Arial" w:hAnsi="Arial" w:cs="Arial"/>
          <w:i/>
          <w:iCs/>
          <w:sz w:val="22"/>
          <w:szCs w:val="22"/>
          <w:lang w:val="es-ES_tradnl"/>
        </w:rPr>
        <w:t xml:space="preserve">The Darker Side of Western Modernity: Global Futures, Decolonial Options </w:t>
      </w:r>
      <w:r w:rsidRPr="00555861">
        <w:rPr>
          <w:rFonts w:ascii="Arial" w:hAnsi="Arial" w:cs="Arial"/>
          <w:sz w:val="22"/>
          <w:szCs w:val="22"/>
          <w:lang w:val="es-ES_tradnl"/>
        </w:rPr>
        <w:t xml:space="preserve">(Durham: Duke University Press, 2011), 320. </w:t>
      </w:r>
    </w:p>
    <w:p w14:paraId="0DB5281B" w14:textId="477C3F7C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 corta</w:t>
      </w:r>
    </w:p>
    <w:p w14:paraId="07ACECFE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 xml:space="preserve">2 Mignolo, </w:t>
      </w:r>
      <w:r w:rsidRPr="00555861">
        <w:rPr>
          <w:rFonts w:ascii="Arial" w:hAnsi="Arial" w:cs="Arial"/>
          <w:i/>
          <w:iCs/>
          <w:sz w:val="22"/>
          <w:szCs w:val="22"/>
          <w:lang w:val="es-ES_tradnl"/>
        </w:rPr>
        <w:t>Darker Side</w:t>
      </w:r>
      <w:r w:rsidRPr="00555861">
        <w:rPr>
          <w:rFonts w:ascii="Arial" w:hAnsi="Arial" w:cs="Arial"/>
          <w:sz w:val="22"/>
          <w:szCs w:val="22"/>
          <w:lang w:val="es-ES_tradnl"/>
        </w:rPr>
        <w:t>, 321.</w:t>
      </w:r>
    </w:p>
    <w:p w14:paraId="100C7D34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4A2BFED2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14DB8A58" w14:textId="37088331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555861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Capítulo u otra parte de un libro editado</w:t>
      </w:r>
    </w:p>
    <w:p w14:paraId="0390B842" w14:textId="77777777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 completa</w:t>
      </w:r>
    </w:p>
    <w:p w14:paraId="38923FE7" w14:textId="79B3A7DC" w:rsidR="00822689" w:rsidRPr="00555861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 xml:space="preserve">1 Henry David Thoreau, “Walking,” in </w:t>
      </w:r>
      <w:r w:rsidRPr="00555861">
        <w:rPr>
          <w:rFonts w:ascii="Arial" w:hAnsi="Arial" w:cs="Arial"/>
          <w:i/>
          <w:iCs/>
          <w:sz w:val="22"/>
          <w:szCs w:val="22"/>
          <w:lang w:val="es-ES_tradnl"/>
        </w:rPr>
        <w:t>The Making of the American Essay</w:t>
      </w:r>
      <w:r w:rsidRPr="00555861">
        <w:rPr>
          <w:rFonts w:ascii="Arial" w:hAnsi="Arial" w:cs="Arial"/>
          <w:sz w:val="22"/>
          <w:szCs w:val="22"/>
          <w:lang w:val="es-ES_tradnl"/>
        </w:rPr>
        <w:t>, ed. John D’Agata (Minneapolis: Graywolf Press, 2016), 177–78.</w:t>
      </w:r>
    </w:p>
    <w:p w14:paraId="5C9DB5AE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  <w:lang w:val="es-ES_tradnl"/>
        </w:rPr>
      </w:pPr>
    </w:p>
    <w:p w14:paraId="79B3DD84" w14:textId="77777777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 corta</w:t>
      </w:r>
    </w:p>
    <w:p w14:paraId="3A274D01" w14:textId="16B1772A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>2 Thoreau, “Walking,” 182.</w:t>
      </w:r>
    </w:p>
    <w:p w14:paraId="759D834C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10C1F250" w14:textId="726A404E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555861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Libro traducido</w:t>
      </w:r>
    </w:p>
    <w:p w14:paraId="61F96E40" w14:textId="77777777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 completa</w:t>
      </w:r>
    </w:p>
    <w:p w14:paraId="039A8CC4" w14:textId="65758A9E" w:rsidR="00822689" w:rsidRPr="00555861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 xml:space="preserve">1 Paulo Freire, </w:t>
      </w:r>
      <w:r w:rsidRPr="00555861">
        <w:rPr>
          <w:rFonts w:ascii="Arial" w:hAnsi="Arial" w:cs="Arial"/>
          <w:i/>
          <w:iCs/>
          <w:sz w:val="22"/>
          <w:szCs w:val="22"/>
          <w:lang w:val="es-ES_tradnl"/>
        </w:rPr>
        <w:t>Pedagogy of the Oppressed</w:t>
      </w:r>
      <w:r w:rsidRPr="00555861">
        <w:rPr>
          <w:rFonts w:ascii="Arial" w:hAnsi="Arial" w:cs="Arial"/>
          <w:sz w:val="22"/>
          <w:szCs w:val="22"/>
          <w:lang w:val="es-ES_tradnl"/>
        </w:rPr>
        <w:t>, trans. Myra Bergman Ramos (New York: Continuum, 1993), 55.</w:t>
      </w:r>
    </w:p>
    <w:p w14:paraId="5B16E709" w14:textId="77777777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0E7D43BF" w14:textId="77777777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 corta</w:t>
      </w:r>
    </w:p>
    <w:p w14:paraId="52D038A4" w14:textId="4C47FB89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 xml:space="preserve">2 Freire, </w:t>
      </w:r>
      <w:r w:rsidRPr="00555861">
        <w:rPr>
          <w:rFonts w:ascii="Arial" w:hAnsi="Arial" w:cs="Arial"/>
          <w:i/>
          <w:iCs/>
          <w:sz w:val="22"/>
          <w:szCs w:val="22"/>
          <w:lang w:val="es-ES_tradnl"/>
        </w:rPr>
        <w:t>Pedagogy of the Oppressed</w:t>
      </w:r>
      <w:r w:rsidRPr="00555861">
        <w:rPr>
          <w:rFonts w:ascii="Arial" w:hAnsi="Arial" w:cs="Arial"/>
          <w:sz w:val="22"/>
          <w:szCs w:val="22"/>
          <w:lang w:val="es-ES_tradnl"/>
        </w:rPr>
        <w:t>, 56.</w:t>
      </w:r>
    </w:p>
    <w:p w14:paraId="10BF5D1E" w14:textId="77777777" w:rsidR="00822689" w:rsidRPr="00555861" w:rsidRDefault="00822689" w:rsidP="00822689">
      <w:pPr>
        <w:rPr>
          <w:rFonts w:ascii="Arial" w:hAnsi="Arial" w:cs="Arial"/>
          <w:sz w:val="22"/>
          <w:szCs w:val="22"/>
          <w:lang w:val="es-ES_tradnl"/>
        </w:rPr>
      </w:pPr>
    </w:p>
    <w:p w14:paraId="18640BA3" w14:textId="4A120AA5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555861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Artículo en una revista académica</w:t>
      </w:r>
    </w:p>
    <w:p w14:paraId="511F277B" w14:textId="0E47541E" w:rsidR="00822689" w:rsidRPr="00555861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  <w:r w:rsidRPr="00555861">
        <w:rPr>
          <w:rFonts w:ascii="Arial" w:hAnsi="Arial" w:cs="Arial"/>
          <w:sz w:val="22"/>
          <w:szCs w:val="22"/>
          <w:lang w:val="es-ES_tradnl"/>
        </w:rPr>
        <w:t xml:space="preserve">Para artículos en línea, incluya el URL o el nombre del base de datos. Muchos artículos utilizan </w:t>
      </w:r>
      <w:r w:rsidR="00555861" w:rsidRPr="00555861">
        <w:rPr>
          <w:rFonts w:ascii="Arial" w:hAnsi="Arial" w:cs="Arial"/>
          <w:sz w:val="22"/>
          <w:szCs w:val="22"/>
          <w:lang w:val="es-ES_tradnl"/>
        </w:rPr>
        <w:t xml:space="preserve">un DOI (Direct Object Identifier. Un DOI forma un enlace permanente que comienza </w:t>
      </w:r>
      <w:r w:rsidRPr="00555861">
        <w:rPr>
          <w:rFonts w:ascii="Arial" w:hAnsi="Arial" w:cs="Arial"/>
          <w:sz w:val="22"/>
          <w:szCs w:val="22"/>
          <w:lang w:val="es-ES_tradnl"/>
        </w:rPr>
        <w:t xml:space="preserve">https://doi.org/. </w:t>
      </w:r>
      <w:r w:rsidR="00555861" w:rsidRPr="00555861">
        <w:rPr>
          <w:rFonts w:ascii="Arial" w:hAnsi="Arial" w:cs="Arial"/>
          <w:sz w:val="22"/>
          <w:szCs w:val="22"/>
          <w:lang w:val="es-ES_tradnl"/>
        </w:rPr>
        <w:t xml:space="preserve"> Se prefiere este URL por sobre el que aparece en barra de búsqueda.</w:t>
      </w:r>
    </w:p>
    <w:p w14:paraId="333A8D86" w14:textId="77777777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</w:p>
    <w:p w14:paraId="390788E2" w14:textId="36F6059F" w:rsidR="00822689" w:rsidRPr="00555861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555861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Referencias completas</w:t>
      </w:r>
    </w:p>
    <w:p w14:paraId="7E6EB724" w14:textId="77777777" w:rsidR="00822689" w:rsidRPr="00664737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Pr="00664737">
        <w:rPr>
          <w:rFonts w:ascii="Arial" w:hAnsi="Arial" w:cs="Arial"/>
          <w:sz w:val="22"/>
          <w:szCs w:val="22"/>
        </w:rPr>
        <w:t xml:space="preserve">Tracy Devine Guzmán, “Povos indígenas e ‘a diversidade cultural’: uma visão desde Austrália, Brasil, Índia e Peru,” </w:t>
      </w:r>
      <w:r w:rsidRPr="00664737">
        <w:rPr>
          <w:rFonts w:ascii="Arial" w:hAnsi="Arial" w:cs="Arial"/>
          <w:i/>
          <w:iCs/>
          <w:sz w:val="22"/>
          <w:szCs w:val="22"/>
        </w:rPr>
        <w:t xml:space="preserve">Revista Observatório </w:t>
      </w:r>
      <w:r w:rsidRPr="00664737">
        <w:rPr>
          <w:rFonts w:ascii="Arial" w:hAnsi="Arial" w:cs="Arial"/>
          <w:sz w:val="22"/>
          <w:szCs w:val="22"/>
        </w:rPr>
        <w:t xml:space="preserve">20 (2016): 3. </w:t>
      </w:r>
    </w:p>
    <w:p w14:paraId="7874E393" w14:textId="77777777" w:rsidR="00822689" w:rsidRPr="00664737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64737">
        <w:rPr>
          <w:rFonts w:ascii="Arial" w:hAnsi="Arial" w:cs="Arial"/>
          <w:sz w:val="22"/>
          <w:szCs w:val="22"/>
        </w:rPr>
        <w:t xml:space="preserve"> Shao-Hsun Keng, Chun-Hung Lin, and Peter F. Orazem, “Expanding College Access in Taiwan, 1978–2014: Effects on Graduate Quality and Income Inequality,” </w:t>
      </w:r>
      <w:r w:rsidRPr="00664737">
        <w:rPr>
          <w:rFonts w:ascii="Arial" w:hAnsi="Arial" w:cs="Arial"/>
          <w:i/>
          <w:iCs/>
          <w:sz w:val="22"/>
          <w:szCs w:val="22"/>
        </w:rPr>
        <w:t>Journal of Human Capital</w:t>
      </w:r>
      <w:r w:rsidRPr="00664737">
        <w:rPr>
          <w:rFonts w:ascii="Arial" w:hAnsi="Arial" w:cs="Arial"/>
          <w:sz w:val="22"/>
          <w:szCs w:val="22"/>
        </w:rPr>
        <w:t xml:space="preserve"> 11, no. 1 (Spring 2017): 9–10, https://doi.org/10.1086/690235.</w:t>
      </w:r>
    </w:p>
    <w:p w14:paraId="374B7637" w14:textId="77777777" w:rsidR="00822689" w:rsidRPr="00664737" w:rsidRDefault="00822689" w:rsidP="00822689">
      <w:pPr>
        <w:widowControl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664737">
        <w:rPr>
          <w:rFonts w:ascii="Arial" w:hAnsi="Arial" w:cs="Arial"/>
          <w:sz w:val="22"/>
          <w:szCs w:val="22"/>
        </w:rPr>
        <w:t xml:space="preserve"> Peter LaSalle, “Conundrum: A Story about Reading,” </w:t>
      </w:r>
      <w:r w:rsidRPr="00664737">
        <w:rPr>
          <w:rFonts w:ascii="Arial" w:hAnsi="Arial" w:cs="Arial"/>
          <w:i/>
          <w:iCs/>
          <w:sz w:val="22"/>
          <w:szCs w:val="22"/>
        </w:rPr>
        <w:t xml:space="preserve">New England Review </w:t>
      </w:r>
      <w:r w:rsidRPr="00664737">
        <w:rPr>
          <w:rFonts w:ascii="Arial" w:hAnsi="Arial" w:cs="Arial"/>
          <w:sz w:val="22"/>
          <w:szCs w:val="22"/>
        </w:rPr>
        <w:t>38, no. 1 (2017): 95, Project MUSE.</w:t>
      </w:r>
    </w:p>
    <w:p w14:paraId="6502E08A" w14:textId="77777777" w:rsidR="00822689" w:rsidRPr="00664737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ADDD06" w14:textId="129581BA" w:rsidR="00822689" w:rsidRPr="00664737" w:rsidRDefault="00822689" w:rsidP="0082268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Referencias cortas</w:t>
      </w:r>
    </w:p>
    <w:p w14:paraId="00341FD0" w14:textId="77777777" w:rsidR="00822689" w:rsidRPr="00664737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64737">
        <w:rPr>
          <w:rFonts w:ascii="Arial" w:hAnsi="Arial" w:cs="Arial"/>
          <w:sz w:val="22"/>
          <w:szCs w:val="22"/>
        </w:rPr>
        <w:t xml:space="preserve"> Devine Guzmán, “Povos,” 4-5.</w:t>
      </w:r>
    </w:p>
    <w:p w14:paraId="6AB51F1D" w14:textId="77777777" w:rsidR="00822689" w:rsidRPr="00664737" w:rsidRDefault="00822689" w:rsidP="00822689">
      <w:pPr>
        <w:widowControl w:val="0"/>
        <w:autoSpaceDE w:val="0"/>
        <w:autoSpaceDN w:val="0"/>
        <w:adjustRightInd w:val="0"/>
        <w:ind w:left="360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64737">
        <w:rPr>
          <w:rFonts w:ascii="Arial" w:hAnsi="Arial" w:cs="Arial"/>
          <w:sz w:val="22"/>
          <w:szCs w:val="22"/>
        </w:rPr>
        <w:t xml:space="preserve"> Keng, Lin, and Orazem, “Expanding College Access,” 23.</w:t>
      </w:r>
    </w:p>
    <w:p w14:paraId="4177905A" w14:textId="77777777" w:rsidR="00822689" w:rsidRPr="00664737" w:rsidRDefault="00822689" w:rsidP="00822689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64737">
        <w:rPr>
          <w:rFonts w:ascii="Arial" w:hAnsi="Arial" w:cs="Arial"/>
          <w:sz w:val="22"/>
          <w:szCs w:val="22"/>
        </w:rPr>
        <w:t xml:space="preserve"> LaSalle, “Conundrum,” 101.</w:t>
      </w:r>
    </w:p>
    <w:p w14:paraId="037A69B3" w14:textId="77777777" w:rsidR="00822689" w:rsidRPr="00822689" w:rsidRDefault="00822689" w:rsidP="0082268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sectPr w:rsidR="00822689" w:rsidRPr="00822689" w:rsidSect="00664737"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923A5" w14:textId="77777777" w:rsidR="00555861" w:rsidRDefault="00555861" w:rsidP="00555861">
      <w:r>
        <w:separator/>
      </w:r>
    </w:p>
  </w:endnote>
  <w:endnote w:type="continuationSeparator" w:id="0">
    <w:p w14:paraId="4AE08298" w14:textId="77777777" w:rsidR="00555861" w:rsidRDefault="00555861" w:rsidP="0055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FCF0" w14:textId="1B7EE880" w:rsidR="00555861" w:rsidRDefault="00555861">
    <w:pPr>
      <w:pStyle w:val="Footer"/>
    </w:pPr>
    <w:sdt>
      <w:sdtPr>
        <w:id w:val="969400743"/>
        <w:placeholder>
          <w:docPart w:val="F66E5C7345D01D44A5CFEDBA0D91363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581E683C9A8BE946BAB88DC33509C74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8396E077CB27674193C60CECCCCC73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910F9" w14:textId="5CE6F318" w:rsidR="00555861" w:rsidRPr="00555861" w:rsidRDefault="005558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1. </w:t>
    </w:r>
    <w:r w:rsidRPr="00555861">
      <w:rPr>
        <w:rFonts w:ascii="Arial" w:hAnsi="Arial" w:cs="Arial"/>
        <w:sz w:val="18"/>
        <w:szCs w:val="18"/>
      </w:rPr>
      <w:t xml:space="preserve">Modified from </w:t>
    </w:r>
    <w:r w:rsidRPr="00555861">
      <w:rPr>
        <w:rFonts w:ascii="Arial" w:hAnsi="Arial" w:cs="Arial"/>
        <w:i/>
        <w:sz w:val="18"/>
        <w:szCs w:val="18"/>
      </w:rPr>
      <w:t>The Chicago Manual of Style 17</w:t>
    </w:r>
    <w:r w:rsidRPr="00555861">
      <w:rPr>
        <w:rFonts w:ascii="Arial" w:hAnsi="Arial" w:cs="Arial"/>
        <w:i/>
        <w:sz w:val="18"/>
        <w:szCs w:val="18"/>
        <w:vertAlign w:val="superscript"/>
      </w:rPr>
      <w:t>th</w:t>
    </w:r>
    <w:r w:rsidRPr="00555861">
      <w:rPr>
        <w:rFonts w:ascii="Arial" w:hAnsi="Arial" w:cs="Arial"/>
        <w:i/>
        <w:sz w:val="18"/>
        <w:szCs w:val="18"/>
      </w:rPr>
      <w:t xml:space="preserve"> edition</w:t>
    </w:r>
    <w:r w:rsidRPr="00555861">
      <w:rPr>
        <w:rFonts w:ascii="Arial" w:hAnsi="Arial" w:cs="Arial"/>
        <w:sz w:val="18"/>
        <w:szCs w:val="18"/>
      </w:rPr>
      <w:t xml:space="preserve"> and El Centro de Español, Universidad de los Andes. Links to sources provided / </w:t>
    </w:r>
    <w:r>
      <w:rPr>
        <w:rFonts w:ascii="Arial" w:hAnsi="Arial" w:cs="Arial"/>
        <w:sz w:val="18"/>
        <w:szCs w:val="18"/>
      </w:rPr>
      <w:t>Modficació</w:t>
    </w:r>
    <w:r w:rsidRPr="00555861">
      <w:rPr>
        <w:rFonts w:ascii="Arial" w:hAnsi="Arial" w:cs="Arial"/>
        <w:sz w:val="18"/>
        <w:szCs w:val="18"/>
      </w:rPr>
      <w:t xml:space="preserve">n de The </w:t>
    </w:r>
    <w:r w:rsidRPr="00555861">
      <w:rPr>
        <w:rFonts w:ascii="Arial" w:hAnsi="Arial" w:cs="Arial"/>
        <w:i/>
        <w:sz w:val="18"/>
        <w:szCs w:val="18"/>
      </w:rPr>
      <w:t>Chicago Manual of Style 17</w:t>
    </w:r>
    <w:r w:rsidRPr="00555861">
      <w:rPr>
        <w:rFonts w:ascii="Arial" w:hAnsi="Arial" w:cs="Arial"/>
        <w:i/>
        <w:sz w:val="18"/>
        <w:szCs w:val="18"/>
        <w:vertAlign w:val="superscript"/>
      </w:rPr>
      <w:t>th</w:t>
    </w:r>
    <w:r w:rsidRPr="00555861">
      <w:rPr>
        <w:rFonts w:ascii="Arial" w:hAnsi="Arial" w:cs="Arial"/>
        <w:i/>
        <w:sz w:val="18"/>
        <w:szCs w:val="18"/>
      </w:rPr>
      <w:t xml:space="preserve"> edition</w:t>
    </w:r>
    <w:r w:rsidRPr="00555861">
      <w:rPr>
        <w:rFonts w:ascii="Arial" w:hAnsi="Arial" w:cs="Arial"/>
        <w:sz w:val="18"/>
        <w:szCs w:val="18"/>
      </w:rPr>
      <w:t xml:space="preserve"> y El Centro de Español, Universidad de los Andes. Enlaces a las fuentes </w:t>
    </w:r>
    <w:r w:rsidR="007A652A">
      <w:rPr>
        <w:rFonts w:ascii="Arial" w:hAnsi="Arial" w:cs="Arial"/>
        <w:sz w:val="18"/>
        <w:szCs w:val="18"/>
      </w:rPr>
      <w:t xml:space="preserve">son </w:t>
    </w:r>
    <w:r w:rsidRPr="00555861">
      <w:rPr>
        <w:rFonts w:ascii="Arial" w:hAnsi="Arial" w:cs="Arial"/>
        <w:sz w:val="18"/>
        <w:szCs w:val="18"/>
      </w:rPr>
      <w:t>suministrados</w:t>
    </w:r>
    <w:r w:rsidR="007A652A">
      <w:rPr>
        <w:rFonts w:ascii="Arial" w:hAnsi="Arial" w:cs="Arial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0F3B" w14:textId="77777777" w:rsidR="00555861" w:rsidRDefault="00555861" w:rsidP="00555861">
      <w:r>
        <w:separator/>
      </w:r>
    </w:p>
  </w:footnote>
  <w:footnote w:type="continuationSeparator" w:id="0">
    <w:p w14:paraId="7319AAA0" w14:textId="77777777" w:rsidR="00555861" w:rsidRDefault="00555861" w:rsidP="0055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75"/>
    <w:rsid w:val="000A6F75"/>
    <w:rsid w:val="001B2B33"/>
    <w:rsid w:val="004A4C4D"/>
    <w:rsid w:val="00555861"/>
    <w:rsid w:val="00664737"/>
    <w:rsid w:val="007538FC"/>
    <w:rsid w:val="007A652A"/>
    <w:rsid w:val="00822689"/>
    <w:rsid w:val="00855C83"/>
    <w:rsid w:val="008E5E3B"/>
    <w:rsid w:val="00B63EC5"/>
    <w:rsid w:val="00CC3E62"/>
    <w:rsid w:val="00CD161E"/>
    <w:rsid w:val="00CF0F8C"/>
    <w:rsid w:val="00D21C02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E1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6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61"/>
  </w:style>
  <w:style w:type="paragraph" w:styleId="Footer">
    <w:name w:val="footer"/>
    <w:basedOn w:val="Normal"/>
    <w:link w:val="FooterChar"/>
    <w:uiPriority w:val="99"/>
    <w:unhideWhenUsed/>
    <w:rsid w:val="00555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6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61"/>
  </w:style>
  <w:style w:type="paragraph" w:styleId="Footer">
    <w:name w:val="footer"/>
    <w:basedOn w:val="Normal"/>
    <w:link w:val="FooterChar"/>
    <w:uiPriority w:val="99"/>
    <w:unhideWhenUsed/>
    <w:rsid w:val="00555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apescollective.org/publications.html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hicagomanualofstyle.org/book/ed17/part3/ch14/toc.html" TargetMode="External"/><Relationship Id="rId9" Type="http://schemas.openxmlformats.org/officeDocument/2006/relationships/hyperlink" Target="http://lapescollective.org/publications.html" TargetMode="External"/><Relationship Id="rId10" Type="http://schemas.openxmlformats.org/officeDocument/2006/relationships/hyperlink" Target="http://www.icomoscr.org/m/investigacion/%5BMETODOS%5DBibliografiaSistemaChicago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6E5C7345D01D44A5CFEDBA0D91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92BF-9FD7-3A4F-B26A-BE2F9A6A6B26}"/>
      </w:docPartPr>
      <w:docPartBody>
        <w:p w14:paraId="6DA666D2" w14:textId="6B73C2E8" w:rsidR="00DD7882" w:rsidRDefault="00DD7882" w:rsidP="00DD7882">
          <w:pPr>
            <w:pStyle w:val="F66E5C7345D01D44A5CFEDBA0D91363C"/>
          </w:pPr>
          <w:r>
            <w:t>[Type text]</w:t>
          </w:r>
        </w:p>
      </w:docPartBody>
    </w:docPart>
    <w:docPart>
      <w:docPartPr>
        <w:name w:val="581E683C9A8BE946BAB88DC33509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F0D3-C75B-734A-9C5B-E4837716EDC9}"/>
      </w:docPartPr>
      <w:docPartBody>
        <w:p w14:paraId="600A5BE9" w14:textId="6C901494" w:rsidR="00DD7882" w:rsidRDefault="00DD7882" w:rsidP="00DD7882">
          <w:pPr>
            <w:pStyle w:val="581E683C9A8BE946BAB88DC33509C74B"/>
          </w:pPr>
          <w:r>
            <w:t>[Type text]</w:t>
          </w:r>
        </w:p>
      </w:docPartBody>
    </w:docPart>
    <w:docPart>
      <w:docPartPr>
        <w:name w:val="8396E077CB27674193C60CECCCCC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D3BA-520D-6747-B0F0-EEEACF4A9207}"/>
      </w:docPartPr>
      <w:docPartBody>
        <w:p w14:paraId="3341CD67" w14:textId="29157AE9" w:rsidR="00DD7882" w:rsidRDefault="00DD7882" w:rsidP="00DD7882">
          <w:pPr>
            <w:pStyle w:val="8396E077CB27674193C60CECCCCC7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82"/>
    <w:rsid w:val="00D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E5C7345D01D44A5CFEDBA0D91363C">
    <w:name w:val="F66E5C7345D01D44A5CFEDBA0D91363C"/>
    <w:rsid w:val="00DD7882"/>
  </w:style>
  <w:style w:type="paragraph" w:customStyle="1" w:styleId="581E683C9A8BE946BAB88DC33509C74B">
    <w:name w:val="581E683C9A8BE946BAB88DC33509C74B"/>
    <w:rsid w:val="00DD7882"/>
  </w:style>
  <w:style w:type="paragraph" w:customStyle="1" w:styleId="8396E077CB27674193C60CECCCCC739D">
    <w:name w:val="8396E077CB27674193C60CECCCCC739D"/>
    <w:rsid w:val="00DD7882"/>
  </w:style>
  <w:style w:type="paragraph" w:customStyle="1" w:styleId="03D449B71125734399B783EBC31EAC02">
    <w:name w:val="03D449B71125734399B783EBC31EAC02"/>
    <w:rsid w:val="00DD7882"/>
  </w:style>
  <w:style w:type="paragraph" w:customStyle="1" w:styleId="1D294CAAFCEEC14CA3D9A09EB6A42A27">
    <w:name w:val="1D294CAAFCEEC14CA3D9A09EB6A42A27"/>
    <w:rsid w:val="00DD7882"/>
  </w:style>
  <w:style w:type="paragraph" w:customStyle="1" w:styleId="AE047B38A554B543B87F6A7C75044BF2">
    <w:name w:val="AE047B38A554B543B87F6A7C75044BF2"/>
    <w:rsid w:val="00DD788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6E5C7345D01D44A5CFEDBA0D91363C">
    <w:name w:val="F66E5C7345D01D44A5CFEDBA0D91363C"/>
    <w:rsid w:val="00DD7882"/>
  </w:style>
  <w:style w:type="paragraph" w:customStyle="1" w:styleId="581E683C9A8BE946BAB88DC33509C74B">
    <w:name w:val="581E683C9A8BE946BAB88DC33509C74B"/>
    <w:rsid w:val="00DD7882"/>
  </w:style>
  <w:style w:type="paragraph" w:customStyle="1" w:styleId="8396E077CB27674193C60CECCCCC739D">
    <w:name w:val="8396E077CB27674193C60CECCCCC739D"/>
    <w:rsid w:val="00DD7882"/>
  </w:style>
  <w:style w:type="paragraph" w:customStyle="1" w:styleId="03D449B71125734399B783EBC31EAC02">
    <w:name w:val="03D449B71125734399B783EBC31EAC02"/>
    <w:rsid w:val="00DD7882"/>
  </w:style>
  <w:style w:type="paragraph" w:customStyle="1" w:styleId="1D294CAAFCEEC14CA3D9A09EB6A42A27">
    <w:name w:val="1D294CAAFCEEC14CA3D9A09EB6A42A27"/>
    <w:rsid w:val="00DD7882"/>
  </w:style>
  <w:style w:type="paragraph" w:customStyle="1" w:styleId="AE047B38A554B543B87F6A7C75044BF2">
    <w:name w:val="AE047B38A554B543B87F6A7C75044BF2"/>
    <w:rsid w:val="00DD7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A0A5E13-AA05-BC4F-8E24-205D1916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777</Words>
  <Characters>4429</Characters>
  <Application>Microsoft Macintosh Word</Application>
  <DocSecurity>0</DocSecurity>
  <Lines>36</Lines>
  <Paragraphs>10</Paragraphs>
  <ScaleCrop>false</ScaleCrop>
  <Company>Cornell University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Leraul</dc:creator>
  <cp:keywords/>
  <dc:description/>
  <cp:lastModifiedBy>Bret Leraul</cp:lastModifiedBy>
  <cp:revision>5</cp:revision>
  <dcterms:created xsi:type="dcterms:W3CDTF">2018-07-26T19:12:00Z</dcterms:created>
  <dcterms:modified xsi:type="dcterms:W3CDTF">2018-07-27T13:31:00Z</dcterms:modified>
</cp:coreProperties>
</file>